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745" w:rsidRPr="00455532" w:rsidRDefault="008C3542" w:rsidP="004555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55532">
        <w:rPr>
          <w:rFonts w:ascii="Times New Roman" w:hAnsi="Times New Roman" w:cs="Times New Roman"/>
          <w:b/>
          <w:sz w:val="28"/>
          <w:szCs w:val="28"/>
        </w:rPr>
        <w:t>Кейс-описание успешной управленческой практики по ликвидации риска</w:t>
      </w:r>
    </w:p>
    <w:p w:rsidR="008C3542" w:rsidRPr="00455532" w:rsidRDefault="008C3542" w:rsidP="00455532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5532">
        <w:rPr>
          <w:rFonts w:ascii="Times New Roman" w:hAnsi="Times New Roman" w:cs="Times New Roman"/>
          <w:b/>
          <w:i/>
          <w:sz w:val="28"/>
          <w:szCs w:val="28"/>
        </w:rPr>
        <w:t>Название кейса:</w:t>
      </w:r>
    </w:p>
    <w:p w:rsidR="008C3542" w:rsidRPr="00455532" w:rsidRDefault="008C3542" w:rsidP="00455532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532">
        <w:rPr>
          <w:rFonts w:ascii="Times New Roman" w:hAnsi="Times New Roman" w:cs="Times New Roman"/>
          <w:sz w:val="28"/>
          <w:szCs w:val="28"/>
        </w:rPr>
        <w:t xml:space="preserve">«Зеленчукская школа №1 - </w:t>
      </w:r>
      <w:proofErr w:type="spellStart"/>
      <w:r w:rsidRPr="00455532">
        <w:rPr>
          <w:rFonts w:ascii="Times New Roman" w:hAnsi="Times New Roman" w:cs="Times New Roman"/>
          <w:sz w:val="28"/>
          <w:szCs w:val="28"/>
        </w:rPr>
        <w:t>Марухе</w:t>
      </w:r>
      <w:proofErr w:type="spellEnd"/>
      <w:r w:rsidRPr="00455532">
        <w:rPr>
          <w:rFonts w:ascii="Times New Roman" w:hAnsi="Times New Roman" w:cs="Times New Roman"/>
          <w:sz w:val="28"/>
          <w:szCs w:val="28"/>
        </w:rPr>
        <w:t>»</w:t>
      </w:r>
    </w:p>
    <w:p w:rsidR="008C3542" w:rsidRPr="00455532" w:rsidRDefault="008C3542" w:rsidP="00455532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5532">
        <w:rPr>
          <w:rFonts w:ascii="Times New Roman" w:hAnsi="Times New Roman" w:cs="Times New Roman"/>
          <w:b/>
          <w:i/>
          <w:sz w:val="28"/>
          <w:szCs w:val="28"/>
        </w:rPr>
        <w:t>Описание ситуации (проблемы)</w:t>
      </w:r>
    </w:p>
    <w:p w:rsidR="008C3542" w:rsidRPr="00455532" w:rsidRDefault="008C3542" w:rsidP="00455532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532">
        <w:rPr>
          <w:rFonts w:ascii="Times New Roman" w:hAnsi="Times New Roman" w:cs="Times New Roman"/>
          <w:sz w:val="28"/>
          <w:szCs w:val="28"/>
        </w:rPr>
        <w:t xml:space="preserve">МКОУ «СОШ </w:t>
      </w:r>
      <w:proofErr w:type="spellStart"/>
      <w:r w:rsidRPr="00455532">
        <w:rPr>
          <w:rFonts w:ascii="Times New Roman" w:hAnsi="Times New Roman" w:cs="Times New Roman"/>
          <w:sz w:val="28"/>
          <w:szCs w:val="28"/>
        </w:rPr>
        <w:t>с.Маруха</w:t>
      </w:r>
      <w:proofErr w:type="spellEnd"/>
      <w:r w:rsidRPr="00455532">
        <w:rPr>
          <w:rFonts w:ascii="Times New Roman" w:hAnsi="Times New Roman" w:cs="Times New Roman"/>
          <w:sz w:val="28"/>
          <w:szCs w:val="28"/>
        </w:rPr>
        <w:t xml:space="preserve">» является небольшой сельской школой, причем особенность географического положения </w:t>
      </w:r>
      <w:proofErr w:type="spellStart"/>
      <w:r w:rsidRPr="00455532">
        <w:rPr>
          <w:rFonts w:ascii="Times New Roman" w:hAnsi="Times New Roman" w:cs="Times New Roman"/>
          <w:sz w:val="28"/>
          <w:szCs w:val="28"/>
        </w:rPr>
        <w:t>с.Маруха</w:t>
      </w:r>
      <w:proofErr w:type="spellEnd"/>
      <w:r w:rsidRPr="00455532">
        <w:rPr>
          <w:rFonts w:ascii="Times New Roman" w:hAnsi="Times New Roman" w:cs="Times New Roman"/>
          <w:sz w:val="28"/>
          <w:szCs w:val="28"/>
        </w:rPr>
        <w:t xml:space="preserve"> заключается в достаточном удалении от основной федеральной трассы, а дорога, ведущая в село – тупиковая. В школе обучается 140 детей, в ней 11 классов, в каждой параллели всего один класс. Наполняемость классов 13-18 человек, в 10-11 – менее 10 человек.</w:t>
      </w:r>
    </w:p>
    <w:p w:rsidR="009F27FA" w:rsidRPr="00455532" w:rsidRDefault="009F27FA" w:rsidP="00455532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532">
        <w:rPr>
          <w:rFonts w:ascii="Times New Roman" w:hAnsi="Times New Roman" w:cs="Times New Roman"/>
          <w:sz w:val="28"/>
          <w:szCs w:val="28"/>
        </w:rPr>
        <w:t>За последние три учебных года никто из обучающихся не оставался на повторное обучение – и вместе с этим нет и медалистов. ВПР и ЕГЭ сдавались успешно за весь  этот период, а по ОГЭ есть один обучающийся, получивший неудовлетворительную отметку.</w:t>
      </w:r>
    </w:p>
    <w:p w:rsidR="009F27FA" w:rsidRPr="00455532" w:rsidRDefault="009F27FA" w:rsidP="00455532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532">
        <w:rPr>
          <w:rFonts w:ascii="Times New Roman" w:hAnsi="Times New Roman" w:cs="Times New Roman"/>
          <w:sz w:val="28"/>
          <w:szCs w:val="28"/>
        </w:rPr>
        <w:t>Важным, на наш взгляд, маркером становится снижение результативного участия учеников в творческих конкурсах и олимпиадах за последние три года:</w:t>
      </w:r>
    </w:p>
    <w:tbl>
      <w:tblPr>
        <w:tblW w:w="9996" w:type="dxa"/>
        <w:tblLayout w:type="fixed"/>
        <w:tblLook w:val="04A0" w:firstRow="1" w:lastRow="0" w:firstColumn="1" w:lastColumn="0" w:noHBand="0" w:noVBand="1"/>
      </w:tblPr>
      <w:tblGrid>
        <w:gridCol w:w="534"/>
        <w:gridCol w:w="4756"/>
        <w:gridCol w:w="1568"/>
        <w:gridCol w:w="1569"/>
        <w:gridCol w:w="1569"/>
      </w:tblGrid>
      <w:tr w:rsidR="009F27FA" w:rsidRPr="00455532" w:rsidTr="0045553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27FA" w:rsidRPr="00455532" w:rsidRDefault="009F27FA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27FA" w:rsidRPr="00455532" w:rsidRDefault="009F27FA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27FA" w:rsidRPr="00455532" w:rsidRDefault="009F27FA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  <w:p w:rsidR="009F27FA" w:rsidRPr="00455532" w:rsidRDefault="009F27FA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27FA" w:rsidRPr="00455532" w:rsidRDefault="009F27FA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hAnsi="Times New Roman" w:cs="Times New Roman"/>
                <w:sz w:val="28"/>
                <w:szCs w:val="28"/>
              </w:rPr>
              <w:t>2018-2019 учебный год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27FA" w:rsidRPr="00455532" w:rsidRDefault="00FF6B66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  <w:r w:rsidR="009F27FA" w:rsidRPr="00455532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</w:tr>
      <w:tr w:rsidR="009F27FA" w:rsidRPr="00455532" w:rsidTr="00455532"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27FA" w:rsidRPr="00455532" w:rsidRDefault="00455532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27FA" w:rsidRPr="00455532" w:rsidRDefault="009F27FA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различных смотров, конкурсов, олимпиад: всего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27FA" w:rsidRPr="00455532" w:rsidRDefault="009F27FA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7FA" w:rsidRPr="00455532" w:rsidRDefault="009F27FA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7FA" w:rsidRPr="00455532" w:rsidRDefault="009F27FA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9F27FA" w:rsidRPr="00455532" w:rsidTr="00455532"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F27FA" w:rsidRPr="00455532" w:rsidRDefault="009F27FA" w:rsidP="00C56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27FA" w:rsidRPr="00455532" w:rsidRDefault="009F27FA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55532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455532">
              <w:rPr>
                <w:rFonts w:ascii="Times New Roman" w:hAnsi="Times New Roman" w:cs="Times New Roman"/>
                <w:sz w:val="28"/>
                <w:szCs w:val="28"/>
              </w:rPr>
              <w:t>. городского уровня, муниципального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27FA" w:rsidRPr="00455532" w:rsidRDefault="009F27FA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7FA" w:rsidRPr="00455532" w:rsidRDefault="009F27FA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7FA" w:rsidRPr="00455532" w:rsidRDefault="009F27FA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F27FA" w:rsidRPr="00455532" w:rsidTr="00455532"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F27FA" w:rsidRPr="00455532" w:rsidRDefault="009F27FA" w:rsidP="00C56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27FA" w:rsidRPr="00455532" w:rsidRDefault="009F27FA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hAnsi="Times New Roman" w:cs="Times New Roman"/>
                <w:sz w:val="28"/>
                <w:szCs w:val="28"/>
              </w:rPr>
              <w:t xml:space="preserve">          областного уровня, регионального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27FA" w:rsidRPr="00455532" w:rsidRDefault="009F27FA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7FA" w:rsidRPr="00455532" w:rsidRDefault="009F27FA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7FA" w:rsidRPr="00455532" w:rsidRDefault="009F27FA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F27FA" w:rsidRPr="00455532" w:rsidTr="00455532"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F27FA" w:rsidRPr="00455532" w:rsidRDefault="009F27FA" w:rsidP="00C56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27FA" w:rsidRPr="00455532" w:rsidRDefault="009F27FA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hAnsi="Times New Roman" w:cs="Times New Roman"/>
                <w:sz w:val="28"/>
                <w:szCs w:val="28"/>
              </w:rPr>
              <w:t xml:space="preserve">          уровня выше областного: всероссийского и международного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27FA" w:rsidRPr="00455532" w:rsidRDefault="009F27FA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7FA" w:rsidRPr="00455532" w:rsidRDefault="009F27FA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7FA" w:rsidRPr="00455532" w:rsidRDefault="009F27FA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F27FA" w:rsidRPr="00455532" w:rsidTr="00455532"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7FA" w:rsidRPr="00455532" w:rsidRDefault="00455532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27FA" w:rsidRPr="00455532" w:rsidRDefault="009F27FA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hAnsi="Times New Roman" w:cs="Times New Roman"/>
                <w:sz w:val="28"/>
                <w:szCs w:val="28"/>
              </w:rPr>
              <w:t>Победители и призеры различных смотров, конкурсов, олимпиад: всего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27FA" w:rsidRPr="00455532" w:rsidRDefault="009F27FA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7FA" w:rsidRPr="00455532" w:rsidRDefault="009F27FA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7FA" w:rsidRPr="00455532" w:rsidRDefault="009F27FA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F27FA" w:rsidRPr="00455532" w:rsidTr="00455532"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27FA" w:rsidRPr="00455532" w:rsidRDefault="009F27FA" w:rsidP="00C56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27FA" w:rsidRPr="00455532" w:rsidRDefault="009F27FA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55532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455532">
              <w:rPr>
                <w:rFonts w:ascii="Times New Roman" w:hAnsi="Times New Roman" w:cs="Times New Roman"/>
                <w:sz w:val="28"/>
                <w:szCs w:val="28"/>
              </w:rPr>
              <w:t>. городского уровня, муниципального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27FA" w:rsidRPr="00455532" w:rsidRDefault="009F27FA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7FA" w:rsidRPr="00455532" w:rsidRDefault="009F27FA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7FA" w:rsidRPr="00455532" w:rsidRDefault="009F27FA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F27FA" w:rsidRPr="00455532" w:rsidTr="00455532"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27FA" w:rsidRPr="00455532" w:rsidRDefault="009F27FA" w:rsidP="00C56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27FA" w:rsidRPr="00455532" w:rsidRDefault="009F27FA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hAnsi="Times New Roman" w:cs="Times New Roman"/>
                <w:sz w:val="28"/>
                <w:szCs w:val="28"/>
              </w:rPr>
              <w:t xml:space="preserve">          областного уровня, регионального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27FA" w:rsidRPr="00455532" w:rsidRDefault="009F27FA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7FA" w:rsidRPr="00455532" w:rsidRDefault="009F27FA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7FA" w:rsidRPr="00455532" w:rsidRDefault="009F27FA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F27FA" w:rsidRPr="00455532" w:rsidTr="00455532"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27FA" w:rsidRPr="00455532" w:rsidRDefault="009F27FA" w:rsidP="00C56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27FA" w:rsidRPr="00455532" w:rsidRDefault="009F27FA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hAnsi="Times New Roman" w:cs="Times New Roman"/>
                <w:sz w:val="28"/>
                <w:szCs w:val="28"/>
              </w:rPr>
              <w:t xml:space="preserve">          уровня выше областного: всероссийского и международного ( в том числе дистанционно)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27FA" w:rsidRPr="00455532" w:rsidRDefault="009F27FA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7FA" w:rsidRPr="00455532" w:rsidRDefault="009F27FA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7FA" w:rsidRPr="00455532" w:rsidRDefault="009F27FA" w:rsidP="00C568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F27FA" w:rsidRDefault="009F27FA" w:rsidP="008C3542">
      <w:pPr>
        <w:pStyle w:val="a3"/>
      </w:pPr>
    </w:p>
    <w:p w:rsidR="009F27FA" w:rsidRPr="00455532" w:rsidRDefault="00FF6B66" w:rsidP="00455532">
      <w:pPr>
        <w:pStyle w:val="a3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5532">
        <w:rPr>
          <w:rFonts w:ascii="Times New Roman" w:hAnsi="Times New Roman" w:cs="Times New Roman"/>
          <w:sz w:val="28"/>
          <w:szCs w:val="28"/>
        </w:rPr>
        <w:t xml:space="preserve">Видим, что мотивация снижается не только в учебной, но и в </w:t>
      </w:r>
      <w:proofErr w:type="spellStart"/>
      <w:r w:rsidRPr="00455532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455532">
        <w:rPr>
          <w:rFonts w:ascii="Times New Roman" w:hAnsi="Times New Roman" w:cs="Times New Roman"/>
          <w:sz w:val="28"/>
          <w:szCs w:val="28"/>
        </w:rPr>
        <w:t xml:space="preserve"> деятельности и сделаем предположение, что ребятам скучно находиться в </w:t>
      </w:r>
      <w:r w:rsidRPr="00455532">
        <w:rPr>
          <w:rFonts w:ascii="Times New Roman" w:hAnsi="Times New Roman" w:cs="Times New Roman"/>
          <w:sz w:val="28"/>
          <w:szCs w:val="28"/>
        </w:rPr>
        <w:lastRenderedPageBreak/>
        <w:t>ежедневном «дне сурка» - это и служит основным фактором снижения мотивации к учебе, приводит к риску неуспешности.</w:t>
      </w:r>
    </w:p>
    <w:p w:rsidR="008C3542" w:rsidRPr="00455532" w:rsidRDefault="008C3542" w:rsidP="00455532">
      <w:pPr>
        <w:pStyle w:val="a3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5532">
        <w:rPr>
          <w:rFonts w:ascii="Times New Roman" w:hAnsi="Times New Roman" w:cs="Times New Roman"/>
          <w:sz w:val="28"/>
          <w:szCs w:val="28"/>
        </w:rPr>
        <w:t>Учителей в школе 23, причем свыше 60% имеют стаж более 20 лет, вместе с тем и молодых педагогов 5 человек, то есть 22%.</w:t>
      </w:r>
      <w:r w:rsidR="009F27FA" w:rsidRPr="00455532">
        <w:rPr>
          <w:rFonts w:ascii="Times New Roman" w:hAnsi="Times New Roman" w:cs="Times New Roman"/>
          <w:sz w:val="28"/>
          <w:szCs w:val="28"/>
        </w:rPr>
        <w:t xml:space="preserve"> 56% педагогов имеют высшую, а 13% - первую аттестационные категории. 6 учителей (26%) имеют звание почетного работника общего образования. </w:t>
      </w:r>
    </w:p>
    <w:p w:rsidR="00F94018" w:rsidRPr="00455532" w:rsidRDefault="00F94018" w:rsidP="00455532">
      <w:pPr>
        <w:pStyle w:val="a3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5532">
        <w:rPr>
          <w:rFonts w:ascii="Times New Roman" w:hAnsi="Times New Roman" w:cs="Times New Roman"/>
          <w:sz w:val="28"/>
          <w:szCs w:val="28"/>
        </w:rPr>
        <w:t>Несмотря на статус сельской и отдаленной, школа неплохо оснащена, кроме того, в ней постоянно функционирует «Точка роста».</w:t>
      </w:r>
    </w:p>
    <w:p w:rsidR="00F94018" w:rsidRDefault="00F94018" w:rsidP="00455532">
      <w:pPr>
        <w:pStyle w:val="a3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5532">
        <w:rPr>
          <w:rFonts w:ascii="Times New Roman" w:hAnsi="Times New Roman" w:cs="Times New Roman"/>
          <w:sz w:val="28"/>
          <w:szCs w:val="28"/>
        </w:rPr>
        <w:t>Самодиагностика школы показала следующие уровни рисков:</w:t>
      </w:r>
    </w:p>
    <w:p w:rsidR="00455532" w:rsidRPr="00455532" w:rsidRDefault="00455532" w:rsidP="00455532">
      <w:pPr>
        <w:pStyle w:val="a3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851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371"/>
        <w:gridCol w:w="1696"/>
      </w:tblGrid>
      <w:tr w:rsidR="00F94018" w:rsidRPr="00455532" w:rsidTr="00F94018">
        <w:trPr>
          <w:trHeight w:val="107"/>
        </w:trPr>
        <w:tc>
          <w:tcPr>
            <w:tcW w:w="4065" w:type="pct"/>
            <w:shd w:val="clear" w:color="auto" w:fill="FFFFFF"/>
          </w:tcPr>
          <w:p w:rsidR="00F94018" w:rsidRPr="00455532" w:rsidRDefault="00F94018" w:rsidP="00F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Факторы риска (только актуальные для ОО)</w:t>
            </w:r>
          </w:p>
        </w:tc>
        <w:tc>
          <w:tcPr>
            <w:tcW w:w="935" w:type="pct"/>
            <w:shd w:val="clear" w:color="auto" w:fill="FFFFFF"/>
          </w:tcPr>
          <w:p w:rsidR="00F94018" w:rsidRPr="00455532" w:rsidRDefault="00F94018" w:rsidP="00F94018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455532">
              <w:rPr>
                <w:sz w:val="28"/>
                <w:szCs w:val="28"/>
              </w:rPr>
              <w:t>Значимость фактора риска в ОО</w:t>
            </w:r>
          </w:p>
        </w:tc>
      </w:tr>
      <w:tr w:rsidR="00F94018" w:rsidRPr="00455532" w:rsidTr="00F94018">
        <w:trPr>
          <w:trHeight w:val="70"/>
        </w:trPr>
        <w:tc>
          <w:tcPr>
            <w:tcW w:w="4065" w:type="pct"/>
            <w:tcBorders>
              <w:right w:val="single" w:sz="12" w:space="0" w:color="auto"/>
            </w:tcBorders>
          </w:tcPr>
          <w:p w:rsidR="00F94018" w:rsidRPr="00455532" w:rsidRDefault="00F94018" w:rsidP="00F9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55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 Низкий уровень оснащения школы</w:t>
            </w:r>
          </w:p>
        </w:tc>
        <w:tc>
          <w:tcPr>
            <w:tcW w:w="935" w:type="pct"/>
          </w:tcPr>
          <w:p w:rsidR="00F94018" w:rsidRPr="00455532" w:rsidRDefault="00F94018" w:rsidP="00F94018">
            <w:pPr>
              <w:rPr>
                <w:rFonts w:ascii="Times New Roman" w:hAnsi="Times New Roman"/>
                <w:sz w:val="28"/>
                <w:szCs w:val="28"/>
              </w:rPr>
            </w:pPr>
            <w:r w:rsidRPr="00455532">
              <w:rPr>
                <w:rFonts w:ascii="Times New Roman" w:hAnsi="Times New Roman"/>
                <w:sz w:val="28"/>
                <w:szCs w:val="28"/>
              </w:rPr>
              <w:t>средняя</w:t>
            </w:r>
          </w:p>
        </w:tc>
      </w:tr>
      <w:tr w:rsidR="00F94018" w:rsidRPr="00455532" w:rsidTr="00F94018">
        <w:trPr>
          <w:trHeight w:val="231"/>
        </w:trPr>
        <w:tc>
          <w:tcPr>
            <w:tcW w:w="4065" w:type="pct"/>
            <w:tcBorders>
              <w:right w:val="single" w:sz="12" w:space="0" w:color="auto"/>
            </w:tcBorders>
          </w:tcPr>
          <w:p w:rsidR="00F94018" w:rsidRPr="00455532" w:rsidRDefault="00F94018" w:rsidP="00F9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55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2. Дефицит педагогических кадров </w:t>
            </w:r>
          </w:p>
        </w:tc>
        <w:tc>
          <w:tcPr>
            <w:tcW w:w="935" w:type="pct"/>
          </w:tcPr>
          <w:p w:rsidR="00F94018" w:rsidRPr="00455532" w:rsidRDefault="00F94018" w:rsidP="00F94018">
            <w:pPr>
              <w:pStyle w:val="Default"/>
              <w:jc w:val="both"/>
              <w:rPr>
                <w:sz w:val="28"/>
                <w:szCs w:val="28"/>
              </w:rPr>
            </w:pPr>
            <w:r w:rsidRPr="00455532">
              <w:rPr>
                <w:sz w:val="28"/>
                <w:szCs w:val="28"/>
              </w:rPr>
              <w:t>средняя</w:t>
            </w:r>
          </w:p>
        </w:tc>
      </w:tr>
      <w:tr w:rsidR="00F94018" w:rsidRPr="00455532" w:rsidTr="00F94018">
        <w:trPr>
          <w:trHeight w:val="523"/>
        </w:trPr>
        <w:tc>
          <w:tcPr>
            <w:tcW w:w="4065" w:type="pct"/>
            <w:tcBorders>
              <w:right w:val="single" w:sz="12" w:space="0" w:color="auto"/>
            </w:tcBorders>
          </w:tcPr>
          <w:p w:rsidR="00F94018" w:rsidRPr="00455532" w:rsidRDefault="00F94018" w:rsidP="00F9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55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935" w:type="pct"/>
          </w:tcPr>
          <w:p w:rsidR="00F94018" w:rsidRPr="00455532" w:rsidRDefault="00F94018" w:rsidP="00F94018">
            <w:pPr>
              <w:pStyle w:val="Default"/>
              <w:ind w:left="32"/>
              <w:jc w:val="both"/>
              <w:rPr>
                <w:sz w:val="28"/>
                <w:szCs w:val="28"/>
              </w:rPr>
            </w:pPr>
            <w:r w:rsidRPr="00455532">
              <w:rPr>
                <w:sz w:val="28"/>
                <w:szCs w:val="28"/>
              </w:rPr>
              <w:t>средняя</w:t>
            </w:r>
          </w:p>
        </w:tc>
      </w:tr>
      <w:tr w:rsidR="00F94018" w:rsidRPr="00455532" w:rsidTr="00F94018">
        <w:trPr>
          <w:trHeight w:val="237"/>
        </w:trPr>
        <w:tc>
          <w:tcPr>
            <w:tcW w:w="4065" w:type="pct"/>
            <w:tcBorders>
              <w:right w:val="single" w:sz="12" w:space="0" w:color="auto"/>
            </w:tcBorders>
          </w:tcPr>
          <w:p w:rsidR="00F94018" w:rsidRPr="00455532" w:rsidRDefault="00F94018" w:rsidP="00F9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55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4. Высокая доля обучающихся с ОВЗ</w:t>
            </w:r>
          </w:p>
        </w:tc>
        <w:tc>
          <w:tcPr>
            <w:tcW w:w="935" w:type="pct"/>
          </w:tcPr>
          <w:p w:rsidR="00F94018" w:rsidRPr="00455532" w:rsidRDefault="00F94018" w:rsidP="00F94018">
            <w:pPr>
              <w:pStyle w:val="Default"/>
              <w:jc w:val="both"/>
              <w:rPr>
                <w:sz w:val="28"/>
                <w:szCs w:val="28"/>
              </w:rPr>
            </w:pPr>
            <w:r w:rsidRPr="00455532">
              <w:rPr>
                <w:sz w:val="28"/>
                <w:szCs w:val="28"/>
              </w:rPr>
              <w:t>низкая</w:t>
            </w:r>
          </w:p>
        </w:tc>
      </w:tr>
      <w:tr w:rsidR="00F94018" w:rsidRPr="00455532" w:rsidTr="00F94018">
        <w:trPr>
          <w:trHeight w:val="523"/>
        </w:trPr>
        <w:tc>
          <w:tcPr>
            <w:tcW w:w="4065" w:type="pct"/>
            <w:tcBorders>
              <w:right w:val="single" w:sz="12" w:space="0" w:color="auto"/>
            </w:tcBorders>
          </w:tcPr>
          <w:p w:rsidR="00F94018" w:rsidRPr="00455532" w:rsidRDefault="00F94018" w:rsidP="00F9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55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5. Низкое качество преодоления языковых и культурных барьеров</w:t>
            </w:r>
          </w:p>
        </w:tc>
        <w:tc>
          <w:tcPr>
            <w:tcW w:w="935" w:type="pct"/>
          </w:tcPr>
          <w:p w:rsidR="00F94018" w:rsidRPr="00455532" w:rsidRDefault="00F94018" w:rsidP="00F94018">
            <w:pPr>
              <w:pStyle w:val="Default"/>
              <w:jc w:val="both"/>
              <w:rPr>
                <w:sz w:val="28"/>
                <w:szCs w:val="28"/>
              </w:rPr>
            </w:pPr>
            <w:r w:rsidRPr="00455532">
              <w:rPr>
                <w:sz w:val="28"/>
                <w:szCs w:val="28"/>
              </w:rPr>
              <w:t>средняя</w:t>
            </w:r>
          </w:p>
        </w:tc>
      </w:tr>
      <w:tr w:rsidR="00F94018" w:rsidRPr="00455532" w:rsidTr="00F94018">
        <w:trPr>
          <w:trHeight w:val="313"/>
        </w:trPr>
        <w:tc>
          <w:tcPr>
            <w:tcW w:w="4065" w:type="pct"/>
            <w:tcBorders>
              <w:right w:val="single" w:sz="12" w:space="0" w:color="auto"/>
            </w:tcBorders>
          </w:tcPr>
          <w:p w:rsidR="00F94018" w:rsidRPr="00455532" w:rsidRDefault="00F94018" w:rsidP="00F9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6. Низкая учебная мотивация обучающихся</w:t>
            </w:r>
          </w:p>
        </w:tc>
        <w:tc>
          <w:tcPr>
            <w:tcW w:w="935" w:type="pct"/>
          </w:tcPr>
          <w:p w:rsidR="00F94018" w:rsidRPr="00455532" w:rsidRDefault="00F94018" w:rsidP="00F94018">
            <w:pPr>
              <w:pStyle w:val="Default"/>
              <w:jc w:val="both"/>
              <w:rPr>
                <w:sz w:val="28"/>
                <w:szCs w:val="28"/>
                <w:u w:val="single"/>
              </w:rPr>
            </w:pPr>
            <w:r w:rsidRPr="00455532">
              <w:rPr>
                <w:sz w:val="28"/>
                <w:szCs w:val="28"/>
                <w:u w:val="single"/>
              </w:rPr>
              <w:t>высокая</w:t>
            </w:r>
          </w:p>
        </w:tc>
      </w:tr>
      <w:tr w:rsidR="00F94018" w:rsidRPr="00455532" w:rsidTr="00F94018">
        <w:trPr>
          <w:trHeight w:val="248"/>
        </w:trPr>
        <w:tc>
          <w:tcPr>
            <w:tcW w:w="4065" w:type="pct"/>
            <w:tcBorders>
              <w:right w:val="single" w:sz="12" w:space="0" w:color="auto"/>
            </w:tcBorders>
          </w:tcPr>
          <w:p w:rsidR="00F94018" w:rsidRPr="00455532" w:rsidRDefault="00F94018" w:rsidP="00F9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55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7. Пониженный уровень школьного благополучия</w:t>
            </w:r>
          </w:p>
        </w:tc>
        <w:tc>
          <w:tcPr>
            <w:tcW w:w="935" w:type="pct"/>
          </w:tcPr>
          <w:p w:rsidR="00F94018" w:rsidRPr="00455532" w:rsidRDefault="00F94018" w:rsidP="00F94018">
            <w:pPr>
              <w:pStyle w:val="Default"/>
              <w:jc w:val="both"/>
              <w:rPr>
                <w:sz w:val="28"/>
                <w:szCs w:val="28"/>
                <w:lang w:eastAsia="ru-RU"/>
              </w:rPr>
            </w:pPr>
            <w:r w:rsidRPr="00455532">
              <w:rPr>
                <w:sz w:val="28"/>
                <w:szCs w:val="28"/>
                <w:lang w:eastAsia="ru-RU"/>
              </w:rPr>
              <w:t>низкая</w:t>
            </w:r>
          </w:p>
        </w:tc>
      </w:tr>
      <w:tr w:rsidR="00F94018" w:rsidRPr="00455532" w:rsidTr="00F94018">
        <w:trPr>
          <w:trHeight w:val="223"/>
        </w:trPr>
        <w:tc>
          <w:tcPr>
            <w:tcW w:w="4065" w:type="pct"/>
            <w:tcBorders>
              <w:right w:val="single" w:sz="12" w:space="0" w:color="auto"/>
            </w:tcBorders>
          </w:tcPr>
          <w:p w:rsidR="00F94018" w:rsidRPr="00455532" w:rsidRDefault="00F94018" w:rsidP="00F9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8. Низкий уровень дисциплины в классе</w:t>
            </w:r>
          </w:p>
        </w:tc>
        <w:tc>
          <w:tcPr>
            <w:tcW w:w="935" w:type="pct"/>
          </w:tcPr>
          <w:p w:rsidR="00F94018" w:rsidRPr="00455532" w:rsidRDefault="00F94018" w:rsidP="00F94018">
            <w:pPr>
              <w:pStyle w:val="Default"/>
              <w:tabs>
                <w:tab w:val="left" w:pos="1095"/>
              </w:tabs>
              <w:jc w:val="both"/>
              <w:rPr>
                <w:sz w:val="28"/>
                <w:szCs w:val="28"/>
              </w:rPr>
            </w:pPr>
            <w:r w:rsidRPr="00455532">
              <w:rPr>
                <w:sz w:val="28"/>
                <w:szCs w:val="28"/>
              </w:rPr>
              <w:t>низкая</w:t>
            </w:r>
          </w:p>
        </w:tc>
      </w:tr>
      <w:tr w:rsidR="00F94018" w:rsidRPr="00455532" w:rsidTr="00F94018">
        <w:trPr>
          <w:trHeight w:val="523"/>
        </w:trPr>
        <w:tc>
          <w:tcPr>
            <w:tcW w:w="4065" w:type="pct"/>
            <w:tcBorders>
              <w:right w:val="single" w:sz="12" w:space="0" w:color="auto"/>
            </w:tcBorders>
          </w:tcPr>
          <w:p w:rsidR="00F94018" w:rsidRPr="00455532" w:rsidRDefault="00F94018" w:rsidP="00F9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55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9. Высокая доля обучающихся с рисками учебной не успешности</w:t>
            </w:r>
          </w:p>
        </w:tc>
        <w:tc>
          <w:tcPr>
            <w:tcW w:w="935" w:type="pct"/>
          </w:tcPr>
          <w:p w:rsidR="00F94018" w:rsidRPr="00455532" w:rsidRDefault="00F94018" w:rsidP="00F94018">
            <w:pPr>
              <w:pStyle w:val="Default"/>
              <w:ind w:left="32"/>
              <w:jc w:val="both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 w:rsidRPr="00455532">
              <w:rPr>
                <w:rFonts w:eastAsia="Times New Roman"/>
                <w:sz w:val="28"/>
                <w:szCs w:val="28"/>
                <w:u w:val="single"/>
                <w:lang w:eastAsia="ru-RU"/>
              </w:rPr>
              <w:t>высокая</w:t>
            </w:r>
          </w:p>
        </w:tc>
      </w:tr>
      <w:tr w:rsidR="00F94018" w:rsidRPr="00455532" w:rsidTr="00F94018">
        <w:trPr>
          <w:trHeight w:val="50"/>
        </w:trPr>
        <w:tc>
          <w:tcPr>
            <w:tcW w:w="4065" w:type="pct"/>
            <w:tcBorders>
              <w:right w:val="single" w:sz="12" w:space="0" w:color="auto"/>
            </w:tcBorders>
            <w:vAlign w:val="center"/>
          </w:tcPr>
          <w:p w:rsidR="00F94018" w:rsidRPr="00455532" w:rsidRDefault="00F94018" w:rsidP="00F9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5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10. Низкий уровень вовлеченности родителей</w:t>
            </w:r>
          </w:p>
        </w:tc>
        <w:tc>
          <w:tcPr>
            <w:tcW w:w="935" w:type="pct"/>
          </w:tcPr>
          <w:p w:rsidR="00F94018" w:rsidRPr="00455532" w:rsidRDefault="00F94018" w:rsidP="00F94018">
            <w:pPr>
              <w:pStyle w:val="Default"/>
              <w:ind w:left="32"/>
              <w:jc w:val="both"/>
              <w:rPr>
                <w:sz w:val="28"/>
                <w:szCs w:val="28"/>
              </w:rPr>
            </w:pPr>
            <w:r w:rsidRPr="00455532">
              <w:rPr>
                <w:sz w:val="28"/>
                <w:szCs w:val="28"/>
              </w:rPr>
              <w:t>средняя</w:t>
            </w:r>
          </w:p>
        </w:tc>
      </w:tr>
    </w:tbl>
    <w:p w:rsidR="009F27FA" w:rsidRDefault="009F27FA" w:rsidP="008C3542">
      <w:pPr>
        <w:pStyle w:val="a3"/>
      </w:pPr>
    </w:p>
    <w:p w:rsidR="00F94018" w:rsidRPr="00455532" w:rsidRDefault="00F94018" w:rsidP="00455532">
      <w:pPr>
        <w:pStyle w:val="a3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5532">
        <w:rPr>
          <w:rFonts w:ascii="Times New Roman" w:hAnsi="Times New Roman" w:cs="Times New Roman"/>
          <w:sz w:val="28"/>
          <w:szCs w:val="28"/>
        </w:rPr>
        <w:t>Проведенное нами анкетирование учителей и обучающихся указывает на то, что обозначенные школой высокие уровни рисков низкой у</w:t>
      </w:r>
      <w:r w:rsidR="006653A7" w:rsidRPr="00455532">
        <w:rPr>
          <w:rFonts w:ascii="Times New Roman" w:hAnsi="Times New Roman" w:cs="Times New Roman"/>
          <w:sz w:val="28"/>
          <w:szCs w:val="28"/>
        </w:rPr>
        <w:t>чебной мотивации и высокой доли</w:t>
      </w:r>
      <w:r w:rsidRPr="00455532">
        <w:rPr>
          <w:rFonts w:ascii="Times New Roman" w:hAnsi="Times New Roman" w:cs="Times New Roman"/>
          <w:sz w:val="28"/>
          <w:szCs w:val="28"/>
        </w:rPr>
        <w:t xml:space="preserve"> обучающихся с рисками учебной </w:t>
      </w:r>
      <w:proofErr w:type="spellStart"/>
      <w:r w:rsidRPr="00455532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455532">
        <w:rPr>
          <w:rFonts w:ascii="Times New Roman" w:hAnsi="Times New Roman" w:cs="Times New Roman"/>
          <w:sz w:val="28"/>
          <w:szCs w:val="28"/>
        </w:rPr>
        <w:t xml:space="preserve"> являются скорее следствием основного , на наш взгляд, риска: недостаточная предметная и методическая компетентность педагогических работников, вызванная, с одной стороны, профессиональным выгоранием педагогов со стажем, а с другой стороны – недостатком опыта у молодых учителей и отсутствием яркого примера для подражания в коллективе. </w:t>
      </w:r>
    </w:p>
    <w:p w:rsidR="008C3542" w:rsidRPr="00455532" w:rsidRDefault="00303BFC" w:rsidP="00455532">
      <w:pPr>
        <w:pStyle w:val="a3"/>
        <w:numPr>
          <w:ilvl w:val="0"/>
          <w:numId w:val="1"/>
        </w:numPr>
        <w:spacing w:after="0" w:line="276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5532">
        <w:rPr>
          <w:rFonts w:ascii="Times New Roman" w:hAnsi="Times New Roman" w:cs="Times New Roman"/>
          <w:b/>
          <w:i/>
          <w:sz w:val="28"/>
          <w:szCs w:val="28"/>
        </w:rPr>
        <w:t>Описание решения.</w:t>
      </w:r>
    </w:p>
    <w:p w:rsidR="00303BFC" w:rsidRPr="00455532" w:rsidRDefault="00303BFC" w:rsidP="00455532">
      <w:pPr>
        <w:pStyle w:val="a3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5532">
        <w:rPr>
          <w:rFonts w:ascii="Times New Roman" w:hAnsi="Times New Roman" w:cs="Times New Roman"/>
          <w:sz w:val="28"/>
          <w:szCs w:val="28"/>
        </w:rPr>
        <w:t xml:space="preserve">В данной ситуации нашей целью становится переформатирование педагогического коллектива школы, которое должно вновь выделить ядро активных учителей, способных стать драйверами образовательного процесса. </w:t>
      </w:r>
      <w:r w:rsidR="006653A7" w:rsidRPr="00455532">
        <w:rPr>
          <w:rFonts w:ascii="Times New Roman" w:hAnsi="Times New Roman" w:cs="Times New Roman"/>
          <w:sz w:val="28"/>
          <w:szCs w:val="28"/>
        </w:rPr>
        <w:t xml:space="preserve">Нашей основной задачей становится создание условий для выхода из зоны </w:t>
      </w:r>
      <w:r w:rsidR="006653A7" w:rsidRPr="00455532">
        <w:rPr>
          <w:rFonts w:ascii="Times New Roman" w:hAnsi="Times New Roman" w:cs="Times New Roman"/>
          <w:sz w:val="28"/>
          <w:szCs w:val="28"/>
        </w:rPr>
        <w:lastRenderedPageBreak/>
        <w:t>привычного комфорта педагогического и ученического коллективов школы, для некой переоценки внутренних ценностей учителей. Образно выражаясь, нам нужно нарушить тихое течение жизни</w:t>
      </w:r>
      <w:r w:rsidR="00CD5B54" w:rsidRPr="00455532">
        <w:rPr>
          <w:rFonts w:ascii="Times New Roman" w:hAnsi="Times New Roman" w:cs="Times New Roman"/>
          <w:sz w:val="28"/>
          <w:szCs w:val="28"/>
        </w:rPr>
        <w:t xml:space="preserve"> в подшефной школе.</w:t>
      </w:r>
    </w:p>
    <w:p w:rsidR="000D11A9" w:rsidRPr="00455532" w:rsidRDefault="000D11A9" w:rsidP="00455532">
      <w:pPr>
        <w:pStyle w:val="a3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5532">
        <w:rPr>
          <w:rFonts w:ascii="Times New Roman" w:hAnsi="Times New Roman" w:cs="Times New Roman"/>
          <w:sz w:val="28"/>
          <w:szCs w:val="28"/>
        </w:rPr>
        <w:t>Нами запланирован ряд мероприятий, некоторые уже успешно проведены, а именно:</w:t>
      </w:r>
    </w:p>
    <w:p w:rsidR="000D11A9" w:rsidRPr="00455532" w:rsidRDefault="000D11A9" w:rsidP="00455532">
      <w:pPr>
        <w:pStyle w:val="a3"/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5532">
        <w:rPr>
          <w:rFonts w:ascii="Times New Roman" w:hAnsi="Times New Roman" w:cs="Times New Roman"/>
          <w:sz w:val="28"/>
          <w:szCs w:val="28"/>
        </w:rPr>
        <w:t xml:space="preserve">Совместные педсоветы. </w:t>
      </w:r>
    </w:p>
    <w:p w:rsidR="000D11A9" w:rsidRPr="00455532" w:rsidRDefault="000D11A9" w:rsidP="00455532">
      <w:pPr>
        <w:pStyle w:val="a3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5532">
        <w:rPr>
          <w:rFonts w:ascii="Times New Roman" w:hAnsi="Times New Roman" w:cs="Times New Roman"/>
          <w:sz w:val="28"/>
          <w:szCs w:val="28"/>
        </w:rPr>
        <w:t xml:space="preserve">Один уже проведен на базе школы в </w:t>
      </w:r>
      <w:proofErr w:type="spellStart"/>
      <w:r w:rsidRPr="00455532">
        <w:rPr>
          <w:rFonts w:ascii="Times New Roman" w:hAnsi="Times New Roman" w:cs="Times New Roman"/>
          <w:sz w:val="28"/>
          <w:szCs w:val="28"/>
        </w:rPr>
        <w:t>Марухе</w:t>
      </w:r>
      <w:proofErr w:type="spellEnd"/>
      <w:r w:rsidRPr="00455532">
        <w:rPr>
          <w:rFonts w:ascii="Times New Roman" w:hAnsi="Times New Roman" w:cs="Times New Roman"/>
          <w:sz w:val="28"/>
          <w:szCs w:val="28"/>
        </w:rPr>
        <w:t xml:space="preserve">, еще один планируется на базе нашей школы, в рамках подготовки к новому учебному году. </w:t>
      </w:r>
    </w:p>
    <w:p w:rsidR="000D11A9" w:rsidRPr="00455532" w:rsidRDefault="000D11A9" w:rsidP="00455532">
      <w:pPr>
        <w:pStyle w:val="a3"/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5532">
        <w:rPr>
          <w:rFonts w:ascii="Times New Roman" w:hAnsi="Times New Roman" w:cs="Times New Roman"/>
          <w:sz w:val="28"/>
          <w:szCs w:val="28"/>
        </w:rPr>
        <w:t>Педагогический десант</w:t>
      </w:r>
    </w:p>
    <w:p w:rsidR="000D11A9" w:rsidRPr="00455532" w:rsidRDefault="000D11A9" w:rsidP="00455532">
      <w:pPr>
        <w:pStyle w:val="a3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5532">
        <w:rPr>
          <w:rFonts w:ascii="Times New Roman" w:hAnsi="Times New Roman" w:cs="Times New Roman"/>
          <w:sz w:val="28"/>
          <w:szCs w:val="28"/>
        </w:rPr>
        <w:t xml:space="preserve">Учителя нашей школы выезжают в подшефную и дают серию открытых уроков по всем </w:t>
      </w:r>
      <w:proofErr w:type="gramStart"/>
      <w:r w:rsidRPr="00455532">
        <w:rPr>
          <w:rFonts w:ascii="Times New Roman" w:hAnsi="Times New Roman" w:cs="Times New Roman"/>
          <w:sz w:val="28"/>
          <w:szCs w:val="28"/>
        </w:rPr>
        <w:t>предметам ,</w:t>
      </w:r>
      <w:proofErr w:type="gramEnd"/>
      <w:r w:rsidRPr="00455532">
        <w:rPr>
          <w:rFonts w:ascii="Times New Roman" w:hAnsi="Times New Roman" w:cs="Times New Roman"/>
          <w:sz w:val="28"/>
          <w:szCs w:val="28"/>
        </w:rPr>
        <w:t xml:space="preserve"> по одному в каждой параллели. Тем самым мы вовлекаем всех детей в это мероприятие, показываем, как можно построить урок, какими могут быть результаты.</w:t>
      </w:r>
    </w:p>
    <w:p w:rsidR="000D11A9" w:rsidRPr="00455532" w:rsidRDefault="000D11A9" w:rsidP="00455532">
      <w:pPr>
        <w:pStyle w:val="a3"/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5532">
        <w:rPr>
          <w:rFonts w:ascii="Times New Roman" w:hAnsi="Times New Roman" w:cs="Times New Roman"/>
          <w:sz w:val="28"/>
          <w:szCs w:val="28"/>
        </w:rPr>
        <w:t>Методический автобус.</w:t>
      </w:r>
    </w:p>
    <w:p w:rsidR="000D11A9" w:rsidRPr="00455532" w:rsidRDefault="000D11A9" w:rsidP="00455532">
      <w:pPr>
        <w:pStyle w:val="a3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5532">
        <w:rPr>
          <w:rFonts w:ascii="Times New Roman" w:hAnsi="Times New Roman" w:cs="Times New Roman"/>
          <w:sz w:val="28"/>
          <w:szCs w:val="28"/>
        </w:rPr>
        <w:t>Мы приглашаем весь педагогический коллектив подшефной школы к себе на открытый семинар, в рамках которого проводим мастер-классы по всем предметам, а завершаем это мероприятие круглым столом и педсоветом с коллегами. Это мероприятие мы планируем как часть августовской конференции.</w:t>
      </w:r>
    </w:p>
    <w:p w:rsidR="000D11A9" w:rsidRPr="00455532" w:rsidRDefault="000D11A9" w:rsidP="00455532">
      <w:pPr>
        <w:pStyle w:val="a3"/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5532">
        <w:rPr>
          <w:rFonts w:ascii="Times New Roman" w:hAnsi="Times New Roman" w:cs="Times New Roman"/>
          <w:sz w:val="28"/>
          <w:szCs w:val="28"/>
        </w:rPr>
        <w:t>День дружбы.</w:t>
      </w:r>
    </w:p>
    <w:p w:rsidR="000D11A9" w:rsidRPr="00455532" w:rsidRDefault="000D11A9" w:rsidP="00455532">
      <w:pPr>
        <w:pStyle w:val="a3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5532">
        <w:rPr>
          <w:rFonts w:ascii="Times New Roman" w:hAnsi="Times New Roman" w:cs="Times New Roman"/>
          <w:sz w:val="28"/>
          <w:szCs w:val="28"/>
        </w:rPr>
        <w:t>Выезд в подшефную школу, проведение там дружеских встреч в игре «</w:t>
      </w:r>
      <w:proofErr w:type="spellStart"/>
      <w:r w:rsidRPr="00455532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455532">
        <w:rPr>
          <w:rFonts w:ascii="Times New Roman" w:hAnsi="Times New Roman" w:cs="Times New Roman"/>
          <w:sz w:val="28"/>
          <w:szCs w:val="28"/>
        </w:rPr>
        <w:t xml:space="preserve">-ринг» и спортивных состязаний. Участвуют и педагоги, и обучающиеся, формируется сборная команда школы. </w:t>
      </w:r>
    </w:p>
    <w:p w:rsidR="000D11A9" w:rsidRPr="00455532" w:rsidRDefault="000D11A9" w:rsidP="00455532">
      <w:pPr>
        <w:pStyle w:val="a3"/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5532">
        <w:rPr>
          <w:rFonts w:ascii="Times New Roman" w:hAnsi="Times New Roman" w:cs="Times New Roman"/>
          <w:sz w:val="28"/>
          <w:szCs w:val="28"/>
        </w:rPr>
        <w:t>Летний прорыв.</w:t>
      </w:r>
    </w:p>
    <w:p w:rsidR="000D11A9" w:rsidRPr="00455532" w:rsidRDefault="000D11A9" w:rsidP="00455532">
      <w:pPr>
        <w:pStyle w:val="a3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5532">
        <w:rPr>
          <w:rFonts w:ascii="Times New Roman" w:hAnsi="Times New Roman" w:cs="Times New Roman"/>
          <w:sz w:val="28"/>
          <w:szCs w:val="28"/>
        </w:rPr>
        <w:t>В июне мы приглашаем обучающихся подшефной школы принять участие в сессиях для одаренных детей, запланированных на базе нашей школы, 5-</w:t>
      </w:r>
      <w:proofErr w:type="gramStart"/>
      <w:r w:rsidRPr="00455532">
        <w:rPr>
          <w:rFonts w:ascii="Times New Roman" w:hAnsi="Times New Roman" w:cs="Times New Roman"/>
          <w:sz w:val="28"/>
          <w:szCs w:val="28"/>
        </w:rPr>
        <w:t>6  классы</w:t>
      </w:r>
      <w:proofErr w:type="gramEnd"/>
      <w:r w:rsidRPr="00455532">
        <w:rPr>
          <w:rFonts w:ascii="Times New Roman" w:hAnsi="Times New Roman" w:cs="Times New Roman"/>
          <w:sz w:val="28"/>
          <w:szCs w:val="28"/>
        </w:rPr>
        <w:t>.</w:t>
      </w:r>
      <w:r w:rsidR="006653A7" w:rsidRPr="00455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1A9" w:rsidRPr="00455532" w:rsidRDefault="000D11A9" w:rsidP="00455532">
      <w:pPr>
        <w:pStyle w:val="a3"/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5532">
        <w:rPr>
          <w:rFonts w:ascii="Times New Roman" w:hAnsi="Times New Roman" w:cs="Times New Roman"/>
          <w:sz w:val="28"/>
          <w:szCs w:val="28"/>
        </w:rPr>
        <w:t>Клубные дни.</w:t>
      </w:r>
    </w:p>
    <w:p w:rsidR="000D11A9" w:rsidRPr="00455532" w:rsidRDefault="000D11A9" w:rsidP="00455532">
      <w:pPr>
        <w:pStyle w:val="a3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5532">
        <w:rPr>
          <w:rFonts w:ascii="Times New Roman" w:hAnsi="Times New Roman" w:cs="Times New Roman"/>
          <w:sz w:val="28"/>
          <w:szCs w:val="28"/>
        </w:rPr>
        <w:t>На базе нашей школы функ</w:t>
      </w:r>
      <w:r w:rsidR="005A6096" w:rsidRPr="00455532">
        <w:rPr>
          <w:rFonts w:ascii="Times New Roman" w:hAnsi="Times New Roman" w:cs="Times New Roman"/>
          <w:sz w:val="28"/>
          <w:szCs w:val="28"/>
        </w:rPr>
        <w:t xml:space="preserve">ционирует Клуб «Учитель года КЧР», педагоги подшефной школы </w:t>
      </w:r>
      <w:r w:rsidR="00CD5B54" w:rsidRPr="00455532">
        <w:rPr>
          <w:rFonts w:ascii="Times New Roman" w:hAnsi="Times New Roman" w:cs="Times New Roman"/>
          <w:sz w:val="28"/>
          <w:szCs w:val="28"/>
        </w:rPr>
        <w:t xml:space="preserve">уже </w:t>
      </w:r>
      <w:r w:rsidR="005A6096" w:rsidRPr="00455532">
        <w:rPr>
          <w:rFonts w:ascii="Times New Roman" w:hAnsi="Times New Roman" w:cs="Times New Roman"/>
          <w:sz w:val="28"/>
          <w:szCs w:val="28"/>
        </w:rPr>
        <w:t>приглашаются на все клубные мероприятия, одно из них уже прошло в мае – семинар-встреча с потенциальными конкурсантами следующего года.</w:t>
      </w:r>
      <w:r w:rsidR="00CD5B54" w:rsidRPr="00455532">
        <w:rPr>
          <w:rFonts w:ascii="Times New Roman" w:hAnsi="Times New Roman" w:cs="Times New Roman"/>
          <w:sz w:val="28"/>
          <w:szCs w:val="28"/>
        </w:rPr>
        <w:t xml:space="preserve"> Планируется широкое привлечение педагогов школы к мероприятиям регионального и федерального уровня, проводимых клубами учителей в дистанционном и очном режиме, возможно включение педагогов подшефной школы к поездкам на педагогические слеты и форумы.</w:t>
      </w:r>
    </w:p>
    <w:p w:rsidR="00303BFC" w:rsidRPr="00455532" w:rsidRDefault="005A6096" w:rsidP="00455532">
      <w:pPr>
        <w:pStyle w:val="a3"/>
        <w:numPr>
          <w:ilvl w:val="0"/>
          <w:numId w:val="1"/>
        </w:numPr>
        <w:spacing w:after="0" w:line="276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5532">
        <w:rPr>
          <w:rFonts w:ascii="Times New Roman" w:hAnsi="Times New Roman" w:cs="Times New Roman"/>
          <w:b/>
          <w:i/>
          <w:sz w:val="28"/>
          <w:szCs w:val="28"/>
        </w:rPr>
        <w:t xml:space="preserve">Результаты. </w:t>
      </w:r>
    </w:p>
    <w:p w:rsidR="005A6096" w:rsidRPr="00455532" w:rsidRDefault="005A6096" w:rsidP="00455532">
      <w:pPr>
        <w:pStyle w:val="a3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5532">
        <w:rPr>
          <w:rFonts w:ascii="Times New Roman" w:hAnsi="Times New Roman" w:cs="Times New Roman"/>
          <w:sz w:val="28"/>
          <w:szCs w:val="28"/>
        </w:rPr>
        <w:t>Мы полагаем, что проведение серии таких мероприятий повысит мотивацию как педагогов, так и обучающихся подшеф</w:t>
      </w:r>
      <w:r w:rsidR="00AA5470" w:rsidRPr="00455532">
        <w:rPr>
          <w:rFonts w:ascii="Times New Roman" w:hAnsi="Times New Roman" w:cs="Times New Roman"/>
          <w:sz w:val="28"/>
          <w:szCs w:val="28"/>
        </w:rPr>
        <w:t>ной школы,</w:t>
      </w:r>
      <w:r w:rsidRPr="00455532">
        <w:rPr>
          <w:rFonts w:ascii="Times New Roman" w:hAnsi="Times New Roman" w:cs="Times New Roman"/>
          <w:sz w:val="28"/>
          <w:szCs w:val="28"/>
        </w:rPr>
        <w:t xml:space="preserve"> сплотит </w:t>
      </w:r>
      <w:r w:rsidRPr="00455532">
        <w:rPr>
          <w:rFonts w:ascii="Times New Roman" w:hAnsi="Times New Roman" w:cs="Times New Roman"/>
          <w:sz w:val="28"/>
          <w:szCs w:val="28"/>
        </w:rPr>
        <w:lastRenderedPageBreak/>
        <w:t>коллектив, выделит в нем ядро актива, на которое в дальнейшем можно будет опираться в работе.</w:t>
      </w:r>
    </w:p>
    <w:p w:rsidR="006653A7" w:rsidRPr="00455532" w:rsidRDefault="006653A7" w:rsidP="00455532">
      <w:pPr>
        <w:pStyle w:val="a3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5532">
        <w:rPr>
          <w:rFonts w:ascii="Times New Roman" w:hAnsi="Times New Roman" w:cs="Times New Roman"/>
          <w:sz w:val="28"/>
          <w:szCs w:val="28"/>
        </w:rPr>
        <w:t>Для реализации данной стратегии вполне достаточно ресурсов, имеющихся в распоряжении нашей и подшефной школы: школьный транспорт, группа активных учителей, готовых к участию в проекте, актив обучающихся.</w:t>
      </w:r>
    </w:p>
    <w:p w:rsidR="006653A7" w:rsidRPr="00455532" w:rsidRDefault="006653A7" w:rsidP="00455532">
      <w:pPr>
        <w:pStyle w:val="a3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5532">
        <w:rPr>
          <w:rFonts w:ascii="Times New Roman" w:hAnsi="Times New Roman" w:cs="Times New Roman"/>
          <w:sz w:val="28"/>
          <w:szCs w:val="28"/>
        </w:rPr>
        <w:t xml:space="preserve">Результаты нашей работы будут выражаться скорее качественными, чем количественными показателями: должна в целом улучшиться атмосфера внутри коллектива, появиться мотивация к творческой работе. Вместе с тем и обучающиеся подшефной школы, выйдя за рамки привычной школьной рутины, </w:t>
      </w:r>
      <w:r w:rsidR="00CD5B54" w:rsidRPr="00455532">
        <w:rPr>
          <w:rFonts w:ascii="Times New Roman" w:hAnsi="Times New Roman" w:cs="Times New Roman"/>
          <w:sz w:val="28"/>
          <w:szCs w:val="28"/>
        </w:rPr>
        <w:t>получат новые ориентиры и цели в учебной деятельности, что также будет способствовать снижению высоких рисков, указанных выше.</w:t>
      </w:r>
    </w:p>
    <w:p w:rsidR="00CD5B54" w:rsidRPr="00455532" w:rsidRDefault="00CD5B54" w:rsidP="00455532">
      <w:pPr>
        <w:pStyle w:val="a3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5532">
        <w:rPr>
          <w:rFonts w:ascii="Times New Roman" w:hAnsi="Times New Roman" w:cs="Times New Roman"/>
          <w:sz w:val="28"/>
          <w:szCs w:val="28"/>
        </w:rPr>
        <w:t>Еще одним результатом нашей работы будет повышение уровня подготовки педагогов и нашей школы, сплочение коллектива, широкое обобщение педагогического опыта. Надеемся, что этот проект станет стартовой точкой для участия в проекте «Успешная школа».</w:t>
      </w:r>
    </w:p>
    <w:sectPr w:rsidR="00CD5B54" w:rsidRPr="00455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93D59"/>
    <w:multiLevelType w:val="hybridMultilevel"/>
    <w:tmpl w:val="3948F6A8"/>
    <w:lvl w:ilvl="0" w:tplc="68A62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A421C8"/>
    <w:multiLevelType w:val="hybridMultilevel"/>
    <w:tmpl w:val="B40EF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3FB"/>
    <w:rsid w:val="000D11A9"/>
    <w:rsid w:val="00303BFC"/>
    <w:rsid w:val="00455532"/>
    <w:rsid w:val="005A6096"/>
    <w:rsid w:val="006653A7"/>
    <w:rsid w:val="008C3542"/>
    <w:rsid w:val="009D33FB"/>
    <w:rsid w:val="009F27FA"/>
    <w:rsid w:val="00AA5470"/>
    <w:rsid w:val="00C31745"/>
    <w:rsid w:val="00CD5B54"/>
    <w:rsid w:val="00F94018"/>
    <w:rsid w:val="00FE2FEA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C9AA1-929A-45AB-97C3-520F9E02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542"/>
    <w:pPr>
      <w:ind w:left="720"/>
      <w:contextualSpacing/>
    </w:pPr>
  </w:style>
  <w:style w:type="table" w:styleId="a4">
    <w:name w:val="Table Grid"/>
    <w:basedOn w:val="a1"/>
    <w:uiPriority w:val="39"/>
    <w:rsid w:val="00F94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40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kool</dc:creator>
  <cp:keywords/>
  <dc:description/>
  <cp:lastModifiedBy>Admin</cp:lastModifiedBy>
  <cp:revision>2</cp:revision>
  <dcterms:created xsi:type="dcterms:W3CDTF">2022-07-04T08:05:00Z</dcterms:created>
  <dcterms:modified xsi:type="dcterms:W3CDTF">2022-07-04T08:05:00Z</dcterms:modified>
</cp:coreProperties>
</file>